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58" w:rsidRPr="0075558A" w:rsidRDefault="00FC5E94" w:rsidP="00D22685">
      <w:pPr>
        <w:pStyle w:val="prilozhenieglava"/>
        <w:keepNext/>
        <w:keepLines/>
        <w:spacing w:before="0" w:after="0"/>
        <w:rPr>
          <w:rFonts w:asciiTheme="minorHAnsi" w:hAnsiTheme="minorHAnsi"/>
          <w:bCs w:val="0"/>
          <w:caps w:val="0"/>
          <w:color w:val="000000"/>
          <w:sz w:val="17"/>
          <w:szCs w:val="17"/>
          <w:shd w:val="clear" w:color="auto" w:fill="FFFFFF"/>
        </w:rPr>
      </w:pPr>
      <w:r w:rsidRPr="0075558A">
        <w:rPr>
          <w:rFonts w:asciiTheme="minorHAnsi" w:hAnsiTheme="minorHAnsi"/>
          <w:bCs w:val="0"/>
          <w:caps w:val="0"/>
          <w:color w:val="000000"/>
          <w:sz w:val="17"/>
          <w:szCs w:val="17"/>
          <w:shd w:val="clear" w:color="auto" w:fill="FFFFFF"/>
        </w:rPr>
        <w:t>Сообщение о существенном факте о проведении общего собрания участников (акционеров) эмитента и о принятых им решениях</w:t>
      </w:r>
    </w:p>
    <w:p w:rsidR="00B0444B" w:rsidRPr="0075558A" w:rsidRDefault="00B0444B" w:rsidP="00D22685">
      <w:pPr>
        <w:pStyle w:val="prilozhenieglava"/>
        <w:keepNext/>
        <w:keepLines/>
        <w:spacing w:before="0" w:after="0"/>
        <w:rPr>
          <w:rFonts w:asciiTheme="minorHAnsi" w:hAnsiTheme="minorHAnsi"/>
          <w:b w:val="0"/>
          <w:bCs w:val="0"/>
          <w:caps w:val="0"/>
          <w:color w:val="000000"/>
          <w:sz w:val="17"/>
          <w:szCs w:val="17"/>
          <w:shd w:val="clear" w:color="auto" w:fill="FFFFFF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4974"/>
      </w:tblGrid>
      <w:tr w:rsidR="000E0A39" w:rsidRPr="0075558A" w:rsidTr="00B03FC0">
        <w:trPr>
          <w:cantSplit/>
          <w:jc w:val="center"/>
        </w:trPr>
        <w:tc>
          <w:tcPr>
            <w:tcW w:w="10343" w:type="dxa"/>
            <w:gridSpan w:val="2"/>
          </w:tcPr>
          <w:p w:rsidR="000E0A39" w:rsidRPr="0075558A" w:rsidRDefault="000E0A39" w:rsidP="00E149EF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174A66" w:rsidRPr="0075558A" w:rsidTr="00B03FC0">
        <w:trPr>
          <w:jc w:val="center"/>
        </w:trPr>
        <w:tc>
          <w:tcPr>
            <w:tcW w:w="5369" w:type="dxa"/>
          </w:tcPr>
          <w:p w:rsidR="00174A66" w:rsidRPr="0075558A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4" w:type="dxa"/>
          </w:tcPr>
          <w:p w:rsidR="00174A66" w:rsidRPr="0075558A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Публичное акционерное общество «Русолово»</w:t>
            </w:r>
          </w:p>
        </w:tc>
      </w:tr>
      <w:tr w:rsidR="00174A66" w:rsidRPr="0075558A" w:rsidTr="00B03FC0">
        <w:trPr>
          <w:jc w:val="center"/>
        </w:trPr>
        <w:tc>
          <w:tcPr>
            <w:tcW w:w="5369" w:type="dxa"/>
          </w:tcPr>
          <w:p w:rsidR="00174A66" w:rsidRPr="0075558A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974" w:type="dxa"/>
          </w:tcPr>
          <w:p w:rsidR="00174A66" w:rsidRPr="0075558A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119049, г. Москва, Ленинский пр-т, д. 6, стр. 7, пом. III, комн. 47, эт.3</w:t>
            </w:r>
          </w:p>
        </w:tc>
      </w:tr>
      <w:tr w:rsidR="00174A66" w:rsidRPr="0075558A" w:rsidTr="00B03FC0">
        <w:trPr>
          <w:jc w:val="center"/>
        </w:trPr>
        <w:tc>
          <w:tcPr>
            <w:tcW w:w="5369" w:type="dxa"/>
          </w:tcPr>
          <w:p w:rsidR="00174A66" w:rsidRPr="0075558A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sz w:val="17"/>
                <w:szCs w:val="17"/>
                <w:lang w:eastAsia="ru-RU"/>
              </w:rPr>
              <w:t>1.3. ОГРН эмитента</w:t>
            </w:r>
          </w:p>
        </w:tc>
        <w:tc>
          <w:tcPr>
            <w:tcW w:w="4974" w:type="dxa"/>
          </w:tcPr>
          <w:p w:rsidR="00174A66" w:rsidRPr="0075558A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174A66" w:rsidRPr="0075558A" w:rsidTr="00B03FC0">
        <w:trPr>
          <w:jc w:val="center"/>
        </w:trPr>
        <w:tc>
          <w:tcPr>
            <w:tcW w:w="5369" w:type="dxa"/>
          </w:tcPr>
          <w:p w:rsidR="00174A66" w:rsidRPr="0075558A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sz w:val="17"/>
                <w:szCs w:val="17"/>
                <w:lang w:eastAsia="ru-RU"/>
              </w:rPr>
              <w:t>1.4. ИНН эмитента</w:t>
            </w:r>
          </w:p>
        </w:tc>
        <w:tc>
          <w:tcPr>
            <w:tcW w:w="4974" w:type="dxa"/>
          </w:tcPr>
          <w:p w:rsidR="00174A66" w:rsidRPr="0075558A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174A66" w:rsidRPr="0075558A" w:rsidTr="00B03FC0">
        <w:trPr>
          <w:jc w:val="center"/>
        </w:trPr>
        <w:tc>
          <w:tcPr>
            <w:tcW w:w="5369" w:type="dxa"/>
          </w:tcPr>
          <w:p w:rsidR="00174A66" w:rsidRPr="0075558A" w:rsidRDefault="00174A66" w:rsidP="00174A66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</w:t>
            </w:r>
          </w:p>
        </w:tc>
        <w:tc>
          <w:tcPr>
            <w:tcW w:w="4974" w:type="dxa"/>
          </w:tcPr>
          <w:p w:rsidR="00174A66" w:rsidRPr="0075558A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174A66" w:rsidRPr="0075558A" w:rsidTr="00B03FC0">
        <w:trPr>
          <w:jc w:val="center"/>
        </w:trPr>
        <w:tc>
          <w:tcPr>
            <w:tcW w:w="5369" w:type="dxa"/>
          </w:tcPr>
          <w:p w:rsidR="00174A66" w:rsidRPr="0075558A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sz w:val="17"/>
                <w:szCs w:val="17"/>
                <w:lang w:eastAsia="ru-RU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4974" w:type="dxa"/>
          </w:tcPr>
          <w:p w:rsidR="00174A66" w:rsidRPr="0075558A" w:rsidRDefault="00E73B10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174A66" w:rsidRPr="0075558A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174A66" w:rsidRPr="0075558A" w:rsidRDefault="00E73B10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174A66" w:rsidRPr="0075558A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174A66" w:rsidRPr="0075558A" w:rsidTr="00B03FC0">
        <w:trPr>
          <w:jc w:val="center"/>
        </w:trPr>
        <w:tc>
          <w:tcPr>
            <w:tcW w:w="5369" w:type="dxa"/>
          </w:tcPr>
          <w:p w:rsidR="00174A66" w:rsidRPr="0075558A" w:rsidRDefault="00174A66" w:rsidP="00174A66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4974" w:type="dxa"/>
          </w:tcPr>
          <w:p w:rsidR="00174A66" w:rsidRPr="0075558A" w:rsidRDefault="00C61ED9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22.06.2023</w:t>
            </w:r>
          </w:p>
        </w:tc>
      </w:tr>
      <w:tr w:rsidR="00174A66" w:rsidRPr="0075558A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6" w:rsidRPr="0075558A" w:rsidRDefault="00174A66" w:rsidP="00174A66">
            <w:pPr>
              <w:pStyle w:val="prilozhenie"/>
              <w:widowControl w:val="0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174A66" w:rsidRPr="0075558A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6" w:rsidRPr="0075558A" w:rsidRDefault="005D64CA" w:rsidP="00E51B77">
            <w:pPr>
              <w:widowControl w:val="0"/>
              <w:tabs>
                <w:tab w:val="left" w:pos="-54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2.1. вид общего собрания участников (акционеров) эмитента (годовое (очередное), внеочередное):</w:t>
            </w:r>
            <w:r w:rsidR="00174A66"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C61ED9" w:rsidRPr="0075558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годовое</w:t>
            </w:r>
            <w:r w:rsidR="00174A66" w:rsidRPr="0075558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  <w:r w:rsidR="00174A66" w:rsidRPr="0075558A">
              <w:rPr>
                <w:rFonts w:asciiTheme="minorHAnsi" w:hAnsiTheme="minorHAnsi"/>
                <w:b/>
                <w:color w:val="000000"/>
                <w:sz w:val="17"/>
                <w:szCs w:val="17"/>
              </w:rPr>
              <w:br/>
            </w:r>
            <w:r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2.2. ф</w:t>
            </w:r>
            <w:r w:rsidR="00174A66"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="00174A66" w:rsidRPr="0075558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заочное голосование.</w:t>
            </w:r>
            <w:r w:rsidR="00174A66" w:rsidRPr="0075558A">
              <w:rPr>
                <w:rFonts w:asciiTheme="minorHAnsi" w:hAnsiTheme="minorHAnsi"/>
                <w:color w:val="000000"/>
                <w:sz w:val="17"/>
                <w:szCs w:val="17"/>
              </w:rPr>
              <w:br/>
            </w:r>
            <w:r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2.3. д</w:t>
            </w:r>
            <w:r w:rsidR="00174A66"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ата, место, время проведения общего собрания участников (акционеров) эмитента:</w:t>
            </w:r>
            <w:r w:rsidR="00E51B77" w:rsidRPr="0075558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C61ED9" w:rsidRPr="0075558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22 июня 2023 года</w:t>
            </w:r>
            <w:r w:rsidR="00174A66" w:rsidRPr="0075558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F76740" w:rsidRPr="0075558A" w:rsidRDefault="00174A66" w:rsidP="00F76740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2.4. </w:t>
            </w:r>
            <w:r w:rsidR="003E0A23"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сведения о кворуме общего собрания участников (акционеров) эмитента</w:t>
            </w:r>
            <w:r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75558A">
              <w:rPr>
                <w:rStyle w:val="apple-converted-space"/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75558A">
              <w:rPr>
                <w:rFonts w:asciiTheme="minorHAnsi" w:hAnsiTheme="minorHAnsi"/>
                <w:color w:val="000000"/>
                <w:sz w:val="17"/>
                <w:szCs w:val="17"/>
              </w:rPr>
              <w:br/>
            </w:r>
            <w:r w:rsidR="00F76740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Кворум: по вопросу № 1: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      </w:r>
            <w:r w:rsidR="00D04D05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30 001 000 000</w:t>
            </w:r>
            <w:r w:rsidR="00F76740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</w:t>
            </w:r>
            <w:r w:rsidR="00D04D05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30 001 000 000</w:t>
            </w:r>
            <w:r w:rsidR="00F76740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Число голосов, которыми обладали лица, принявшие участие в общем собрании, по данному вопросу повестки дня общего собрания: </w:t>
            </w:r>
            <w:r w:rsidR="00D04D05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28 722 580 210</w:t>
            </w:r>
            <w:r w:rsidR="00F76740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Наличие кворума: есть </w:t>
            </w:r>
            <w:r w:rsidR="00D04D05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(95.7387%)</w:t>
            </w:r>
            <w:r w:rsidR="00F76740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</w:t>
            </w:r>
          </w:p>
          <w:p w:rsidR="00F76740" w:rsidRPr="0075558A" w:rsidRDefault="00F76740" w:rsidP="00F76740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№ 2: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      </w:r>
            <w:r w:rsidR="00D04D05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30 001 000 000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</w:t>
            </w:r>
            <w:r w:rsidR="00D04D05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30 001 000 000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Число голосов, которыми обладали лица, принявшие участие в общем собрании, по данному вопросу повестки дня общего собрания: </w:t>
            </w:r>
            <w:r w:rsidR="00D04D05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28 722 580 210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Наличие кворума: есть </w:t>
            </w:r>
            <w:r w:rsidR="00D04D05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(95.7387%)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</w:t>
            </w:r>
          </w:p>
          <w:p w:rsidR="00F76740" w:rsidRPr="0075558A" w:rsidRDefault="00F76740" w:rsidP="00F76740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№ 3: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      </w:r>
            <w:r w:rsidR="00D04D05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30 001 000 000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</w:t>
            </w:r>
            <w:r w:rsidR="00D04D05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30 001 000 000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Число голосов, которыми обладали лица, принявшие участие в общем собрании, по данному вопросу повестки дня общего собрания: </w:t>
            </w:r>
            <w:r w:rsidR="00D04D05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28 722 580 210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Наличие кворума: есть </w:t>
            </w:r>
            <w:r w:rsidR="00D04D05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(95.7387%)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</w:t>
            </w:r>
          </w:p>
          <w:p w:rsidR="00174A66" w:rsidRPr="0075558A" w:rsidRDefault="006B4042" w:rsidP="00174A66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Кворум по всем вопросам повестки дня имеется. Общее собрание акционеров правомочно по всем вопросам повестки дня.</w:t>
            </w:r>
          </w:p>
          <w:p w:rsidR="00B10831" w:rsidRPr="0075558A" w:rsidRDefault="00D04D05" w:rsidP="00D04D05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№ 4: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      </w:r>
            <w:r w:rsidR="00B10831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270 009 000 000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</w:t>
            </w:r>
            <w:r w:rsidR="00B10831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270 009 000 000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Число голосов, которыми обладали лица, принявшие участие в общем собрании, по данному вопросу повестки дня общего собрания: </w:t>
            </w:r>
            <w:r w:rsidR="00B10831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258 503 221 890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. Наличие кворума: есть </w:t>
            </w:r>
            <w:r w:rsidR="00B10831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(95.7387%)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.</w:t>
            </w:r>
          </w:p>
          <w:p w:rsidR="00F71B2A" w:rsidRPr="0075558A" w:rsidRDefault="00B10831" w:rsidP="00B10831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№ 5: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30 001 000 000.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30 000 915 000. Число голосов, которыми обладали лица, принявшие участие в общем собрании, по данному вопросу повестки дня общего собрания: 28 722 495 210. Наличие кворума: есть (95.7387%). </w:t>
            </w:r>
          </w:p>
          <w:p w:rsidR="00F71B2A" w:rsidRPr="0075558A" w:rsidRDefault="00F71B2A" w:rsidP="00F71B2A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№ 6: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30 001 000 000.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30 001 000 000. Число голосов, которыми обладали лица, принявшие участие в общем собрании, по данному вопросу повестки дня общего собрания: 28 722 580 210. Наличие кворума: есть (95.7387%). </w:t>
            </w:r>
          </w:p>
          <w:p w:rsidR="00F71B2A" w:rsidRPr="0075558A" w:rsidRDefault="00F71B2A" w:rsidP="00F71B2A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№ 7: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30 001 000 000.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30 001 000 000. Число голосов, которыми обладали лица, принявшие участие в общем собрании, по данному вопросу повестки дня общего собрания: 28 722 580 210. Наличие кворума: есть (95.7387%). </w:t>
            </w:r>
          </w:p>
          <w:p w:rsidR="00F71B2A" w:rsidRPr="0075558A" w:rsidRDefault="00F71B2A" w:rsidP="00F71B2A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Число голосов по вопросу № 8.1 повестки дня, которыми обладали лица, не заинтересованные в совершении обществом сделки, принявшие участие в общем собрании: 28 722 580 210. Наличие кворума: есть.</w:t>
            </w:r>
          </w:p>
          <w:p w:rsidR="00557FA9" w:rsidRPr="0075558A" w:rsidRDefault="00F71B2A" w:rsidP="00F71B2A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Число голосов по вопросу № 8.2 повестки дня, которыми обладали лица, не заинтересованные в совершении обществом сделки, принявшие участие в общем собрании: 184 159 000. Наличие кворума: есть.</w:t>
            </w:r>
          </w:p>
          <w:p w:rsidR="00557FA9" w:rsidRPr="0075558A" w:rsidRDefault="00557FA9" w:rsidP="00557FA9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Число голосов по вопросу № </w:t>
            </w:r>
            <w:r w:rsidR="00B70383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8.3 повестки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дня, которыми обладали лица, не заинтересованные в совершении обществом сделки, принявшие участие в общем собрании: 184 244 000. Наличие кворума: есть.</w:t>
            </w:r>
          </w:p>
          <w:p w:rsidR="00F71B2A" w:rsidRPr="0075558A" w:rsidRDefault="00557FA9" w:rsidP="00F71B2A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Число голосов по вопросу № </w:t>
            </w:r>
            <w:r w:rsidR="00B70383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8.4 повестки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дня, которыми обладали лица, не заинтересованные в совершении обществом сделки, принявшие участие в общем собрании: 184 244 000. Наличие кворума: есть.</w:t>
            </w:r>
          </w:p>
          <w:p w:rsidR="00557FA9" w:rsidRPr="0075558A" w:rsidRDefault="00557FA9" w:rsidP="00557FA9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Число голосов по вопросу № </w:t>
            </w:r>
            <w:r w:rsidR="00B70383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8.5 повестки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дня, которыми обладали лица, не заинтересованные в совершении обществом сделки, принявшие участие в общем собрании: 184 244 000. Наличие кворума: есть.</w:t>
            </w:r>
          </w:p>
          <w:p w:rsidR="00557FA9" w:rsidRPr="0075558A" w:rsidRDefault="00557FA9" w:rsidP="00557FA9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Число голосов по вопросу № </w:t>
            </w:r>
            <w:r w:rsidR="00B70383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8.6 повестки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дня, которыми обладали лица, не заинтересованные в совершении обществом сделки, принявшие участие в общем собрании: 184 244 000. Наличие кворума: есть.</w:t>
            </w:r>
          </w:p>
          <w:p w:rsidR="00F71B2A" w:rsidRPr="0075558A" w:rsidRDefault="00557FA9" w:rsidP="00F71B2A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Число голосов по вопросу № </w:t>
            </w:r>
            <w:r w:rsidR="00B70383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8.7 повестки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дня, которыми обладали лица, не заинтересованные в совершении обществом сделки, принявшие участие в общем собрании: 28 722 495 210. Наличие кворума: есть.</w:t>
            </w:r>
          </w:p>
          <w:p w:rsidR="00557FA9" w:rsidRPr="0075558A" w:rsidRDefault="00557FA9" w:rsidP="00557FA9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Число голосов по вопросу № </w:t>
            </w:r>
            <w:r w:rsidR="00B70383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8.8 повестки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дня, которыми обладали лица, не заинтересованные в совершении обществом сделки, принявшие участие в общем собрании: 184 244 000. Наличие кворума: есть.</w:t>
            </w:r>
          </w:p>
          <w:p w:rsidR="00F71B2A" w:rsidRPr="0075558A" w:rsidRDefault="00F71B2A" w:rsidP="00B10831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</w:p>
          <w:p w:rsidR="00D04D05" w:rsidRPr="0075558A" w:rsidRDefault="00D04D05" w:rsidP="00D04D05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lastRenderedPageBreak/>
              <w:t>Кворум по всем вопросам повестки дня имеется. Общее собрание акционеров правомочно по всем вопросам повестки дня.</w:t>
            </w:r>
          </w:p>
          <w:p w:rsidR="00557FA9" w:rsidRPr="0075558A" w:rsidRDefault="004E527F" w:rsidP="00557FA9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2.5. повестка дня общего собрания участников (акционеров) эмитента</w:t>
            </w:r>
            <w:r w:rsidR="009A7865"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="00174A66" w:rsidRPr="0075558A">
              <w:rPr>
                <w:rFonts w:asciiTheme="minorHAnsi" w:hAnsiTheme="minorHAnsi"/>
                <w:color w:val="000000"/>
                <w:sz w:val="17"/>
                <w:szCs w:val="17"/>
              </w:rPr>
              <w:br/>
            </w:r>
            <w:r w:rsidR="00557FA9"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1.Об утверждении годового отчета ПАО «Русолово» за 2022 год.</w:t>
            </w:r>
          </w:p>
          <w:p w:rsidR="00557FA9" w:rsidRPr="0075558A" w:rsidRDefault="00557FA9" w:rsidP="00557FA9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2.Об утверждении годовой бухгалтерской (финансовой) отчетности ПАО «Русолово» за 2022 год.</w:t>
            </w:r>
          </w:p>
          <w:p w:rsidR="00557FA9" w:rsidRPr="0075558A" w:rsidRDefault="00557FA9" w:rsidP="00557FA9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3.О распределении прибыли ПАО «Русолово», в том числе выплата (объявление) дивидендов по результатам 2022 отчетного года.</w:t>
            </w:r>
          </w:p>
          <w:p w:rsidR="00557FA9" w:rsidRPr="0075558A" w:rsidRDefault="00557FA9" w:rsidP="00557FA9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4.Об избрани</w:t>
            </w:r>
            <w:bookmarkStart w:id="0" w:name="_GoBack"/>
            <w:bookmarkEnd w:id="0"/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и членов Совета директоров ПАО «Русолово».</w:t>
            </w:r>
          </w:p>
          <w:p w:rsidR="00557FA9" w:rsidRPr="0075558A" w:rsidRDefault="00557FA9" w:rsidP="00557FA9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5.Об избрании членов Ревизионной комиссии ПАО «Русолово»</w:t>
            </w:r>
          </w:p>
          <w:p w:rsidR="00557FA9" w:rsidRPr="0075558A" w:rsidRDefault="00557FA9" w:rsidP="00557FA9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6.О назначении аудиторской организации ПАО «Русолово».</w:t>
            </w:r>
          </w:p>
          <w:p w:rsidR="00557FA9" w:rsidRPr="0075558A" w:rsidRDefault="00557FA9" w:rsidP="00557FA9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7.Об утверждении Устава ПАО «Русолово» в новой редакции.</w:t>
            </w:r>
          </w:p>
          <w:p w:rsidR="00557FA9" w:rsidRPr="0075558A" w:rsidRDefault="00557FA9" w:rsidP="00557FA9">
            <w:pPr>
              <w:pStyle w:val="a3"/>
              <w:widowControl w:val="0"/>
              <w:tabs>
                <w:tab w:val="left" w:pos="171"/>
              </w:tabs>
              <w:spacing w:after="0" w:line="240" w:lineRule="auto"/>
              <w:ind w:left="0"/>
              <w:rPr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val="x-none"/>
              </w:rPr>
              <w:t>8.</w:t>
            </w:r>
            <w:r w:rsidRPr="0075558A">
              <w:rPr>
                <w:b/>
                <w:bCs/>
                <w:i/>
                <w:iCs/>
                <w:sz w:val="17"/>
                <w:szCs w:val="17"/>
                <w:lang w:val="x-none"/>
              </w:rPr>
              <w:tab/>
              <w:t>О согласии на совершение ПАО «Русолово» сделок, в совершении которых имеется заинтересованность.</w:t>
            </w:r>
          </w:p>
          <w:p w:rsidR="00174A66" w:rsidRPr="0075558A" w:rsidRDefault="00174A66" w:rsidP="00557FA9">
            <w:pPr>
              <w:pStyle w:val="a3"/>
              <w:widowControl w:val="0"/>
              <w:tabs>
                <w:tab w:val="left" w:pos="171"/>
              </w:tabs>
              <w:spacing w:after="0" w:line="240" w:lineRule="auto"/>
              <w:ind w:left="0"/>
              <w:rPr>
                <w:rStyle w:val="apple-converted-space"/>
                <w:rFonts w:cs="Times New Roman"/>
                <w:color w:val="000000"/>
                <w:sz w:val="17"/>
                <w:szCs w:val="17"/>
              </w:rPr>
            </w:pPr>
            <w:r w:rsidRPr="0075558A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>2</w:t>
            </w:r>
            <w:r w:rsidR="00E36658" w:rsidRPr="0075558A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>.6. р</w:t>
            </w:r>
            <w:r w:rsidRPr="0075558A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>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  <w:r w:rsidRPr="0075558A">
              <w:rPr>
                <w:rStyle w:val="apple-converted-space"/>
                <w:rFonts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174A66" w:rsidRPr="0075558A" w:rsidRDefault="00174A66" w:rsidP="00EE2639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1 повестки дня общего собрания акционеров:</w:t>
            </w:r>
            <w:r w:rsidR="00EE2639" w:rsidRPr="0075558A">
              <w:rPr>
                <w:rStyle w:val="apple-converted-space"/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174A66" w:rsidRPr="0075558A" w:rsidRDefault="00180C08" w:rsidP="00174A66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bookmarkStart w:id="1" w:name="В001__Обрам_ВырезкаНетКвор"/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«ЗА»- </w:t>
            </w:r>
            <w:r w:rsidR="00BC03D2"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28 722 580 210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, «ПРОТИВ» - </w:t>
            </w:r>
            <w:r w:rsidR="00BC03D2"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, «ВОЗДЕРЖАЛСЯ» - </w:t>
            </w:r>
            <w:r w:rsidR="00BC03D2"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  <w:r w:rsidR="00326339"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–</w:t>
            </w:r>
            <w:r w:rsidR="00F76740"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 (0.0000)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</w:p>
          <w:p w:rsidR="00174A66" w:rsidRPr="0075558A" w:rsidRDefault="00174A66" w:rsidP="00174A66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решения, принятого общим со</w:t>
            </w:r>
            <w:r w:rsidR="00180C08"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бранием по в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опросу № 1 повестки дня общего собрания:</w:t>
            </w:r>
          </w:p>
          <w:bookmarkEnd w:id="1"/>
          <w:p w:rsidR="00BC03D2" w:rsidRPr="0075558A" w:rsidRDefault="00326339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i/>
                <w:sz w:val="17"/>
                <w:szCs w:val="17"/>
                <w:lang w:eastAsia="ru-RU"/>
              </w:rPr>
              <w:t>1.1</w:t>
            </w:r>
            <w:r w:rsidR="00B0444B" w:rsidRPr="0075558A">
              <w:rPr>
                <w:b/>
                <w:i/>
                <w:sz w:val="17"/>
                <w:szCs w:val="17"/>
                <w:lang w:eastAsia="ru-RU"/>
              </w:rPr>
              <w:t>.</w:t>
            </w:r>
            <w:r w:rsidR="00B0444B" w:rsidRPr="0075558A">
              <w:rPr>
                <w:bCs/>
                <w:iCs/>
                <w:sz w:val="17"/>
                <w:szCs w:val="17"/>
              </w:rPr>
              <w:t xml:space="preserve"> </w:t>
            </w:r>
            <w:r w:rsidR="00BC03D2" w:rsidRPr="0075558A">
              <w:rPr>
                <w:rFonts w:eastAsia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Утвердить годовой отчет ПАО «Русолово» за 2022 год.</w:t>
            </w:r>
          </w:p>
          <w:p w:rsidR="00BC03D2" w:rsidRPr="0075558A" w:rsidRDefault="00BC03D2" w:rsidP="00BC03D2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2 повестки дня общего собрания акционеров:</w:t>
            </w:r>
            <w:r w:rsidRPr="0075558A">
              <w:rPr>
                <w:rStyle w:val="apple-converted-space"/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BC03D2" w:rsidRPr="0075558A" w:rsidRDefault="00BC03D2" w:rsidP="00BC03D2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«ЗА»- 28 722 580 210, «ПРОТИВ» - 0, «ВОЗДЕРЖАЛСЯ» - 0.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 –0 (0.0000).</w:t>
            </w:r>
          </w:p>
          <w:p w:rsidR="00BC03D2" w:rsidRPr="0075558A" w:rsidRDefault="00BC03D2" w:rsidP="00BC03D2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решения, принятого общим собранием по вопросу №2 повестки дня общего собрания:</w:t>
            </w:r>
          </w:p>
          <w:p w:rsidR="00BC03D2" w:rsidRPr="0075558A" w:rsidRDefault="0075558A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i/>
                <w:sz w:val="17"/>
                <w:szCs w:val="17"/>
                <w:lang w:eastAsia="ru-RU"/>
              </w:rPr>
              <w:t>2.1</w:t>
            </w:r>
            <w:r w:rsidR="00BC03D2" w:rsidRPr="0075558A">
              <w:rPr>
                <w:b/>
                <w:i/>
                <w:sz w:val="17"/>
                <w:szCs w:val="17"/>
                <w:lang w:eastAsia="ru-RU"/>
              </w:rPr>
              <w:t>. Утвердить годовую бухгалтерскую (финансовую) отчетность ПАО «Русолово» за 2022 год.</w:t>
            </w:r>
          </w:p>
          <w:p w:rsidR="00BC03D2" w:rsidRPr="0075558A" w:rsidRDefault="00BC03D2" w:rsidP="00BC03D2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</w:t>
            </w:r>
            <w:r w:rsidR="00DA145B"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ьтаты голосования по вопросу № 3</w:t>
            </w: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общего собрания акционеров:</w:t>
            </w:r>
            <w:r w:rsidRPr="0075558A">
              <w:rPr>
                <w:rStyle w:val="apple-converted-space"/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BC03D2" w:rsidRPr="0075558A" w:rsidRDefault="00BC03D2" w:rsidP="00BC03D2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«ЗА»- </w:t>
            </w:r>
            <w:r w:rsidR="00DA145B"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28 722 579 210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, «ПРОТИВ» - 0, «ВОЗДЕРЖАЛСЯ» -</w:t>
            </w:r>
            <w:r w:rsidR="00DA145B"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100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0.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 –0 (0.0000).</w:t>
            </w:r>
          </w:p>
          <w:p w:rsidR="00BC03D2" w:rsidRPr="0075558A" w:rsidRDefault="00BC03D2" w:rsidP="00BC03D2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решения, принятого общим собранием по в</w:t>
            </w:r>
            <w:r w:rsidR="00DA145B"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опросу №3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повестки дня общего собрания:</w:t>
            </w:r>
          </w:p>
          <w:p w:rsidR="00DA145B" w:rsidRPr="0075558A" w:rsidRDefault="00DA145B" w:rsidP="00DA145B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3.1. Не принимать решение о распределении чистой прибыли по итогам 2022 года в связи с получением по итогам года убытка в сумме 415 362 000 (Четыреста пятнадцать миллионов триста шестьдесят две тысячи) рублей.</w:t>
            </w:r>
          </w:p>
          <w:p w:rsidR="00943161" w:rsidRPr="0075558A" w:rsidRDefault="00DA145B" w:rsidP="00943161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3.2. Не объявлять и не выплачивать дивиденды по обыкновенным акциям ПАО «Русолово» по результатам 2022 отчетного года.</w:t>
            </w:r>
          </w:p>
          <w:p w:rsidR="00DA145B" w:rsidRPr="0075558A" w:rsidRDefault="00DA145B" w:rsidP="00DA145B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4 повестки дня общего собрания акционеров:</w:t>
            </w:r>
            <w:r w:rsidRPr="0075558A">
              <w:rPr>
                <w:rStyle w:val="apple-converted-space"/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tbl>
            <w:tblPr>
              <w:tblW w:w="0" w:type="auto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6"/>
              <w:gridCol w:w="6719"/>
              <w:gridCol w:w="2296"/>
            </w:tblGrid>
            <w:tr w:rsidR="00DA145B" w:rsidRPr="0075558A" w:rsidTr="00EA3A87">
              <w:trPr>
                <w:trHeight w:val="283"/>
              </w:trPr>
              <w:tc>
                <w:tcPr>
                  <w:tcW w:w="886" w:type="dxa"/>
                  <w:vAlign w:val="center"/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№ п/п</w:t>
                  </w:r>
                </w:p>
              </w:tc>
              <w:tc>
                <w:tcPr>
                  <w:tcW w:w="6719" w:type="dxa"/>
                  <w:vAlign w:val="center"/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ФИО кандидата</w:t>
                  </w:r>
                </w:p>
              </w:tc>
              <w:tc>
                <w:tcPr>
                  <w:tcW w:w="2296" w:type="dxa"/>
                  <w:vAlign w:val="center"/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DA145B" w:rsidRPr="0075558A" w:rsidTr="00EA3A87">
              <w:trPr>
                <w:trHeight w:val="283"/>
              </w:trPr>
              <w:tc>
                <w:tcPr>
                  <w:tcW w:w="886" w:type="dxa"/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015" w:type="dxa"/>
                  <w:gridSpan w:val="2"/>
                  <w:vAlign w:val="center"/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«ЗА», распределение голосов по кандидатам:</w:t>
                  </w:r>
                </w:p>
              </w:tc>
            </w:tr>
            <w:tr w:rsidR="00DA145B" w:rsidRPr="0075558A" w:rsidTr="00EA3A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Антонов Сергей Викторович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28 714 847 210</w:t>
                  </w:r>
                </w:p>
              </w:tc>
            </w:tr>
            <w:tr w:rsidR="00DA145B" w:rsidRPr="0075558A" w:rsidTr="00EA3A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Вахитов Ренат Хайдярович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28 714 846 210</w:t>
                  </w:r>
                </w:p>
              </w:tc>
            </w:tr>
            <w:tr w:rsidR="00DA145B" w:rsidRPr="0075558A" w:rsidTr="00EA3A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Добрецов Андрей Валентинович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28 714 848 210</w:t>
                  </w:r>
                </w:p>
              </w:tc>
            </w:tr>
            <w:tr w:rsidR="00DA145B" w:rsidRPr="0075558A" w:rsidTr="00EA3A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Колесов Евгений Александрович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28 714 847 210</w:t>
                  </w:r>
                </w:p>
              </w:tc>
            </w:tr>
            <w:tr w:rsidR="00DA145B" w:rsidRPr="0075558A" w:rsidTr="00EA3A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Котин Игорь Станиславович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28 714 847 210</w:t>
                  </w:r>
                </w:p>
              </w:tc>
            </w:tr>
            <w:tr w:rsidR="00DA145B" w:rsidRPr="0075558A" w:rsidTr="00EA3A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Парфенов Дмитрий Юрьевич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28 714 856 210</w:t>
                  </w:r>
                </w:p>
              </w:tc>
            </w:tr>
            <w:tr w:rsidR="00DA145B" w:rsidRPr="0075558A" w:rsidTr="00EA3A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Соколов Константин Константинович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28 714 847 210</w:t>
                  </w:r>
                </w:p>
              </w:tc>
            </w:tr>
            <w:tr w:rsidR="00DA145B" w:rsidRPr="0075558A" w:rsidTr="00EA3A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Хрущ Александр Александрович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28 784 390 210</w:t>
                  </w:r>
                </w:p>
              </w:tc>
            </w:tr>
            <w:tr w:rsidR="00DA145B" w:rsidRPr="0075558A" w:rsidTr="00EA3A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Янюшкин Владимир Александрович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28 714 847 210</w:t>
                  </w:r>
                </w:p>
              </w:tc>
            </w:tr>
            <w:tr w:rsidR="00DA145B" w:rsidRPr="0075558A" w:rsidTr="00EA3A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760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«ПРОТИВ» всех кандидатов:</w:t>
                  </w:r>
                </w:p>
              </w:tc>
              <w:tc>
                <w:tcPr>
                  <w:tcW w:w="2296" w:type="dxa"/>
                  <w:tcBorders>
                    <w:bottom w:val="single" w:sz="4" w:space="0" w:color="auto"/>
                  </w:tcBorders>
                  <w:vAlign w:val="center"/>
                </w:tcPr>
                <w:p w:rsidR="00DA145B" w:rsidRPr="0075558A" w:rsidRDefault="00DA145B" w:rsidP="00DA145B">
                  <w:pPr>
                    <w:jc w:val="right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bookmarkStart w:id="2" w:name="В004_ГолПР"/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0</w:t>
                  </w:r>
                  <w:bookmarkEnd w:id="2"/>
                </w:p>
              </w:tc>
            </w:tr>
            <w:tr w:rsidR="00DA145B" w:rsidRPr="0075558A" w:rsidTr="00EA3A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7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«ВОЗДЕРЖАЛСЯ» по всем кандидатам: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45B" w:rsidRPr="0075558A" w:rsidRDefault="00DA145B" w:rsidP="00DA145B">
                  <w:pPr>
                    <w:jc w:val="right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bookmarkStart w:id="3" w:name="В004_ГолВЗ"/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45 000</w:t>
                  </w:r>
                  <w:bookmarkEnd w:id="3"/>
                </w:p>
              </w:tc>
            </w:tr>
            <w:tr w:rsidR="00DA145B" w:rsidRPr="0075558A" w:rsidTr="00EA3A8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7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45B" w:rsidRPr="0075558A" w:rsidRDefault="00DA145B" w:rsidP="00DA145B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bookmarkStart w:id="4" w:name="В004_ГолНеГолосовали_НД"/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0</w:t>
                  </w:r>
                  <w:bookmarkEnd w:id="4"/>
                </w:p>
              </w:tc>
            </w:tr>
          </w:tbl>
          <w:p w:rsidR="00506037" w:rsidRPr="0075558A" w:rsidRDefault="00506037" w:rsidP="00506037">
            <w:pPr>
              <w:widowControl w:val="0"/>
              <w:tabs>
                <w:tab w:val="left" w:pos="454"/>
              </w:tabs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>Формулировка решения, принятого общим собранием по вопросу №4 повестки дня общего собрания:</w:t>
            </w:r>
          </w:p>
          <w:p w:rsidR="00506037" w:rsidRPr="0075558A" w:rsidRDefault="00506037" w:rsidP="00506037">
            <w:pPr>
              <w:widowControl w:val="0"/>
              <w:tabs>
                <w:tab w:val="left" w:pos="454"/>
              </w:tabs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>4.1. Избрать в Совет директоров Общества следующих кандидатов:</w:t>
            </w:r>
          </w:p>
          <w:p w:rsidR="00506037" w:rsidRPr="0075558A" w:rsidRDefault="00506037" w:rsidP="00506037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Антонов Сергей Викторович;</w:t>
            </w:r>
          </w:p>
          <w:p w:rsidR="00506037" w:rsidRPr="0075558A" w:rsidRDefault="00506037" w:rsidP="00506037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Вахитов Ренат Хайдярович;</w:t>
            </w:r>
          </w:p>
          <w:p w:rsidR="00506037" w:rsidRPr="0075558A" w:rsidRDefault="00506037" w:rsidP="00506037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Добрецов Андрей Валентинович;</w:t>
            </w:r>
          </w:p>
          <w:p w:rsidR="00506037" w:rsidRPr="0075558A" w:rsidRDefault="00506037" w:rsidP="00506037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Колесов Евгений Александрович;</w:t>
            </w:r>
          </w:p>
          <w:p w:rsidR="00506037" w:rsidRPr="0075558A" w:rsidRDefault="00506037" w:rsidP="00506037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Котин Игорь Станиславович;</w:t>
            </w:r>
          </w:p>
          <w:p w:rsidR="00506037" w:rsidRPr="0075558A" w:rsidRDefault="00506037" w:rsidP="00506037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Парфенов Дмитрий Юрьевич;</w:t>
            </w:r>
          </w:p>
          <w:p w:rsidR="00506037" w:rsidRPr="0075558A" w:rsidRDefault="00506037" w:rsidP="00506037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Соколов Константин Константинович;</w:t>
            </w:r>
          </w:p>
          <w:p w:rsidR="00506037" w:rsidRPr="0075558A" w:rsidRDefault="00506037" w:rsidP="00506037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Хрущ Александр Александрович;</w:t>
            </w:r>
          </w:p>
          <w:p w:rsidR="00DA145B" w:rsidRPr="0075558A" w:rsidRDefault="00506037" w:rsidP="004945A9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bookmarkStart w:id="5" w:name="В004_ПереченьИзбранных"/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Янюшкин Владимир Александрович</w:t>
            </w:r>
            <w:bookmarkEnd w:id="5"/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.</w:t>
            </w:r>
          </w:p>
          <w:p w:rsidR="00943161" w:rsidRPr="0075558A" w:rsidRDefault="00943161" w:rsidP="00943161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5 повестки дня общего собрания акционеров:</w:t>
            </w:r>
            <w:r w:rsidRPr="0075558A">
              <w:rPr>
                <w:rStyle w:val="apple-converted-space"/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1292"/>
              <w:gridCol w:w="1559"/>
              <w:gridCol w:w="1701"/>
              <w:gridCol w:w="1701"/>
              <w:gridCol w:w="3686"/>
            </w:tblGrid>
            <w:tr w:rsidR="00943161" w:rsidRPr="0075558A" w:rsidTr="00EA3A87">
              <w:trPr>
                <w:cantSplit/>
                <w:trHeight w:val="565"/>
              </w:trPr>
              <w:tc>
                <w:tcPr>
                  <w:tcW w:w="568" w:type="dxa"/>
                  <w:vMerge w:val="restart"/>
                  <w:shd w:val="clear" w:color="auto" w:fill="FFFFFF"/>
                  <w:vAlign w:val="center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</w:p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val="en-US"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№ п/п</w:t>
                  </w:r>
                </w:p>
              </w:tc>
              <w:tc>
                <w:tcPr>
                  <w:tcW w:w="1292" w:type="dxa"/>
                  <w:vMerge w:val="restart"/>
                  <w:shd w:val="clear" w:color="auto" w:fill="FFFFFF"/>
                  <w:vAlign w:val="center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</w:p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ФИО кандидата</w:t>
                  </w:r>
                </w:p>
              </w:tc>
              <w:tc>
                <w:tcPr>
                  <w:tcW w:w="4961" w:type="dxa"/>
                  <w:gridSpan w:val="3"/>
                  <w:shd w:val="clear" w:color="auto" w:fill="FFFFFF"/>
                  <w:vAlign w:val="center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Число голосов, отданных за каждый из вариантов голосования (%*)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FFFFFF"/>
                  <w:vAlign w:val="center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 w:right="183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 (%*)</w:t>
                  </w:r>
                </w:p>
              </w:tc>
            </w:tr>
            <w:tr w:rsidR="00943161" w:rsidRPr="0075558A" w:rsidTr="00EA3A87">
              <w:trPr>
                <w:cantSplit/>
                <w:trHeight w:val="87"/>
              </w:trPr>
              <w:tc>
                <w:tcPr>
                  <w:tcW w:w="568" w:type="dxa"/>
                  <w:vMerge/>
                  <w:shd w:val="clear" w:color="auto" w:fill="FFFFFF"/>
                  <w:vAlign w:val="center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shd w:val="clear" w:color="auto" w:fill="FFFFFF"/>
                  <w:vAlign w:val="center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ЗА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ПРОТИВ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3686" w:type="dxa"/>
                  <w:vMerge/>
                  <w:shd w:val="clear" w:color="auto" w:fill="FFFFFF"/>
                  <w:vAlign w:val="center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43161" w:rsidRPr="0075558A" w:rsidRDefault="00943161" w:rsidP="00943161">
            <w:pPr>
              <w:pStyle w:val="a3"/>
              <w:widowControl w:val="0"/>
              <w:tabs>
                <w:tab w:val="left" w:pos="454"/>
              </w:tabs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292"/>
              <w:gridCol w:w="1559"/>
              <w:gridCol w:w="1701"/>
              <w:gridCol w:w="1701"/>
              <w:gridCol w:w="3811"/>
            </w:tblGrid>
            <w:tr w:rsidR="00943161" w:rsidRPr="0075558A" w:rsidTr="00217E59">
              <w:tc>
                <w:tcPr>
                  <w:tcW w:w="10632" w:type="dxa"/>
                  <w:gridSpan w:val="6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bookmarkStart w:id="6" w:name="Таблица_Канд_005"/>
                  <w:bookmarkEnd w:id="6"/>
                </w:p>
              </w:tc>
            </w:tr>
            <w:tr w:rsidR="00943161" w:rsidRPr="0075558A" w:rsidTr="00EA3A87">
              <w:tc>
                <w:tcPr>
                  <w:tcW w:w="568" w:type="dxa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1292" w:type="dxa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Малюга Олеся Робертовна</w:t>
                  </w:r>
                </w:p>
              </w:tc>
              <w:tc>
                <w:tcPr>
                  <w:tcW w:w="1559" w:type="dxa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28 714 377 210 </w:t>
                  </w:r>
                </w:p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(99.971737 %)</w:t>
                  </w:r>
                </w:p>
              </w:tc>
              <w:tc>
                <w:tcPr>
                  <w:tcW w:w="1701" w:type="dxa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7 482 000</w:t>
                  </w:r>
                </w:p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 (0.026049 %)</w:t>
                  </w:r>
                </w:p>
              </w:tc>
              <w:tc>
                <w:tcPr>
                  <w:tcW w:w="1701" w:type="dxa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636 000 </w:t>
                  </w:r>
                </w:p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(0.002214 %)</w:t>
                  </w:r>
                </w:p>
              </w:tc>
              <w:tc>
                <w:tcPr>
                  <w:tcW w:w="3811" w:type="dxa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0</w:t>
                  </w:r>
                </w:p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(0.000000%)</w:t>
                  </w:r>
                </w:p>
              </w:tc>
            </w:tr>
            <w:tr w:rsidR="00943161" w:rsidRPr="0075558A" w:rsidTr="00EA3A87">
              <w:tc>
                <w:tcPr>
                  <w:tcW w:w="568" w:type="dxa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292" w:type="dxa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Богодаев Артем </w:t>
                  </w: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lastRenderedPageBreak/>
                    <w:t>Николаевич</w:t>
                  </w:r>
                </w:p>
              </w:tc>
              <w:tc>
                <w:tcPr>
                  <w:tcW w:w="1559" w:type="dxa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lastRenderedPageBreak/>
                    <w:t xml:space="preserve">28 721 858 210 </w:t>
                  </w:r>
                </w:p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(99.997783 %)</w:t>
                  </w:r>
                </w:p>
              </w:tc>
              <w:tc>
                <w:tcPr>
                  <w:tcW w:w="1701" w:type="dxa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1 000</w:t>
                  </w:r>
                </w:p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 (0.000003 %)</w:t>
                  </w:r>
                </w:p>
              </w:tc>
              <w:tc>
                <w:tcPr>
                  <w:tcW w:w="1701" w:type="dxa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635 000 </w:t>
                  </w:r>
                </w:p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(0.002211 %)</w:t>
                  </w:r>
                </w:p>
              </w:tc>
              <w:tc>
                <w:tcPr>
                  <w:tcW w:w="3811" w:type="dxa"/>
                </w:tcPr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1 000</w:t>
                  </w:r>
                </w:p>
                <w:p w:rsidR="00943161" w:rsidRPr="0075558A" w:rsidRDefault="00943161" w:rsidP="00EA3A87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(0.000003%)</w:t>
                  </w:r>
                </w:p>
              </w:tc>
            </w:tr>
          </w:tbl>
          <w:p w:rsidR="00506037" w:rsidRPr="0075558A" w:rsidRDefault="00506037" w:rsidP="00506037">
            <w:pPr>
              <w:pStyle w:val="a3"/>
              <w:widowControl w:val="0"/>
              <w:tabs>
                <w:tab w:val="left" w:pos="164"/>
              </w:tabs>
              <w:ind w:left="22" w:hanging="22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bookmarkStart w:id="7" w:name="В005_ВопрТекстРешПД"/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Формулировка решения, принятого общим собранием по вопросу №5 повестки дня общего собрания:</w:t>
            </w:r>
          </w:p>
          <w:p w:rsidR="00506037" w:rsidRPr="0075558A" w:rsidRDefault="00506037" w:rsidP="00506037">
            <w:pPr>
              <w:pStyle w:val="a3"/>
              <w:widowControl w:val="0"/>
              <w:tabs>
                <w:tab w:val="left" w:pos="164"/>
              </w:tabs>
              <w:ind w:left="22" w:hanging="22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5.1. Избрать Ревизионную комиссию Общества в следующем составе:</w:t>
            </w:r>
            <w:bookmarkEnd w:id="7"/>
          </w:p>
          <w:p w:rsidR="00506037" w:rsidRPr="0075558A" w:rsidRDefault="00506037" w:rsidP="00506037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164"/>
              </w:tabs>
              <w:ind w:left="22" w:hanging="22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bookmarkStart w:id="8" w:name="В005_ПереченьИзбранных"/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Малюга Олеся Робертовна;</w:t>
            </w:r>
          </w:p>
          <w:p w:rsidR="00DA145B" w:rsidRPr="0075558A" w:rsidRDefault="00506037" w:rsidP="004945A9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164"/>
              </w:tabs>
              <w:ind w:left="22" w:hanging="22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Богодаев Артем Николаевич</w:t>
            </w:r>
            <w:bookmarkEnd w:id="8"/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.</w:t>
            </w:r>
          </w:p>
          <w:p w:rsidR="00506037" w:rsidRPr="0075558A" w:rsidRDefault="00506037" w:rsidP="00506037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6 повестки дня общего собрания акционеров:</w:t>
            </w:r>
            <w:r w:rsidRPr="0075558A">
              <w:rPr>
                <w:rStyle w:val="apple-converted-space"/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506037" w:rsidRPr="0075558A" w:rsidRDefault="00506037" w:rsidP="00506037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«ЗА»- 28 714 218 210, «ПРОТИВ» - 0, «ВОЗДЕРЖАЛСЯ» -8 362 000.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 –0 (0.0000).</w:t>
            </w:r>
          </w:p>
          <w:p w:rsidR="00506037" w:rsidRPr="0075558A" w:rsidRDefault="00506037" w:rsidP="00506037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решения, принятого общим собранием по вопросу №6 повестки дня общего собрания:</w:t>
            </w:r>
          </w:p>
          <w:p w:rsidR="00506037" w:rsidRPr="0075558A" w:rsidRDefault="00506037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6.1.</w:t>
            </w: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ab/>
              <w:t>Назначить аудиторской организацией ООО «Р.О.С.ЭКСПЕРТИЗА» (ОГРН 1027739273946) для проведения аудита бухгалтерской (финансовой) отчетности ПАО «Русолово», подготовленной в соответствии с российскими стандартами бухгалтерского учета и международными стандартами финансовой отчетности за 2023 год.</w:t>
            </w:r>
          </w:p>
          <w:p w:rsidR="00506037" w:rsidRPr="0075558A" w:rsidRDefault="00506037" w:rsidP="00506037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7 повестки дня общего собрания акционеров:</w:t>
            </w:r>
            <w:r w:rsidRPr="0075558A">
              <w:rPr>
                <w:rStyle w:val="apple-converted-space"/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506037" w:rsidRPr="0075558A" w:rsidRDefault="00506037" w:rsidP="00506037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«ЗА»- 28 721 944 210, «ПРОТИВ» - 0, «ВОЗДЕРЖАЛСЯ» - 636 000.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 –0 (0.0000).</w:t>
            </w:r>
          </w:p>
          <w:p w:rsidR="00506037" w:rsidRPr="0075558A" w:rsidRDefault="00506037" w:rsidP="00506037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решения, принятого общим собранием по вопросу №7 повестки дня общего собрания:</w:t>
            </w:r>
          </w:p>
          <w:p w:rsidR="00506037" w:rsidRPr="0075558A" w:rsidRDefault="00506037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7.1.</w:t>
            </w: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ab/>
              <w:t>Утвердить Устав ПАО «Русолово» в новой редакции (редакция № 8).</w:t>
            </w:r>
          </w:p>
          <w:p w:rsidR="00506037" w:rsidRPr="0075558A" w:rsidRDefault="00475B7E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№1: «ЗА» - 28 721 944 210,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506037" w:rsidRPr="0075558A" w:rsidRDefault="00475B7E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№2: «ЗА» - 183 523 000,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475B7E" w:rsidRPr="0075558A" w:rsidRDefault="00475B7E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№3: «ЗА» - 183 608 000,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475B7E" w:rsidRPr="0075558A" w:rsidRDefault="00475B7E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№4: «ЗА» - 183 608 000,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475B7E" w:rsidRPr="0075558A" w:rsidRDefault="00475B7E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№5: «ЗА» - 183 608 000,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4E5886" w:rsidRPr="0075558A" w:rsidRDefault="004E5886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№6: «ЗА» - 183 608 000,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4E5886" w:rsidRPr="0075558A" w:rsidRDefault="004E5886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№7: «ЗА» - 28 721 859 210,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4E5886" w:rsidRPr="0075558A" w:rsidRDefault="004E5886" w:rsidP="004E5886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№8: «ЗА» - 183 608 000,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4E5886" w:rsidRPr="0075558A" w:rsidRDefault="004E5886" w:rsidP="004E5886">
            <w:pPr>
              <w:widowControl w:val="0"/>
              <w:tabs>
                <w:tab w:val="left" w:pos="454"/>
              </w:tabs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По результатам голосования принято решение: </w:t>
            </w:r>
          </w:p>
          <w:p w:rsidR="004E5886" w:rsidRPr="0075558A" w:rsidRDefault="004E5886" w:rsidP="004E5886">
            <w:pPr>
              <w:widowControl w:val="0"/>
              <w:tabs>
                <w:tab w:val="left" w:pos="454"/>
              </w:tabs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>По п.п.8.1 – 8.8: дать согласие на совершение сделок, в совершении которых имеется заинтересованность.</w:t>
            </w:r>
          </w:p>
          <w:p w:rsidR="004E5886" w:rsidRPr="0075558A" w:rsidRDefault="004E5886" w:rsidP="004E5886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Принято решение не раскрывать информацию об условиях сделок, в том числе о цене сделок, о лицах, являющихся сторонами, выгодоприобретателями, на основании п. 16 ст. 30 Федерального закона от 22.04.1996 N 39-ФЗ «О рынке ценных бумаг».</w:t>
            </w:r>
          </w:p>
          <w:p w:rsidR="00174A66" w:rsidRPr="0075558A" w:rsidRDefault="00174A66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 xml:space="preserve">2.7. </w:t>
            </w:r>
            <w:r w:rsidR="00D638AC" w:rsidRPr="0075558A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>дата составления и номер протокола общего собрания участников (акционеров) эмитента</w:t>
            </w:r>
            <w:r w:rsidRPr="0075558A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 xml:space="preserve">: </w:t>
            </w:r>
            <w:r w:rsidR="00B0444B"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«</w:t>
            </w:r>
            <w:r w:rsidR="00DA6592"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22</w:t>
            </w: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» </w:t>
            </w:r>
            <w:r w:rsidR="00DA6592"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июня 2023 года, Протокол № 01/23</w:t>
            </w: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-ОСА.</w:t>
            </w:r>
          </w:p>
          <w:p w:rsidR="00174A66" w:rsidRPr="0075558A" w:rsidRDefault="00174A66" w:rsidP="00EF7BCF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2.8. </w:t>
            </w:r>
            <w:r w:rsidR="00CB58F6" w:rsidRPr="0075558A">
              <w:rPr>
                <w:rFonts w:asciiTheme="minorHAnsi" w:hAnsiTheme="minorHAnsi"/>
                <w:sz w:val="17"/>
                <w:szCs w:val="17"/>
              </w:rPr>
              <w:t>идентификационные признаки ценных бумаг (акций, владельцы которых имеют право на участие в общем собрании акционеров эмитента)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 w:rsidR="00DA6592"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акции обыкновенные, количество акций, находящихся в обращении -  30 001 000 000  шт., государственный регистрационный номер и дата выпуска - 1-01-15065-А от 13.08.2012 г., ISIN - RU000A0JU1B0, CFI – ESVXFR.</w:t>
            </w:r>
          </w:p>
        </w:tc>
      </w:tr>
      <w:tr w:rsidR="00174A66" w:rsidRPr="0075558A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6" w:rsidRPr="0075558A" w:rsidRDefault="00174A66" w:rsidP="00174A66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lastRenderedPageBreak/>
              <w:t>3. Подпись</w:t>
            </w:r>
          </w:p>
        </w:tc>
      </w:tr>
      <w:tr w:rsidR="00174A66" w:rsidRPr="0075558A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AC" w:rsidRPr="0075558A" w:rsidRDefault="00D638AC" w:rsidP="00D638AC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t xml:space="preserve">3.1. Начальник отдела корпоративного управления - корпоративный секретарь </w:t>
            </w:r>
          </w:p>
          <w:p w:rsidR="00D638AC" w:rsidRPr="0075558A" w:rsidRDefault="00D638AC" w:rsidP="00D638AC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t>(</w:t>
            </w:r>
            <w:r w:rsidR="00BC7BD6" w:rsidRPr="0075558A">
              <w:rPr>
                <w:rFonts w:asciiTheme="minorHAnsi" w:hAnsiTheme="minorHAnsi"/>
                <w:sz w:val="17"/>
                <w:szCs w:val="17"/>
              </w:rPr>
              <w:t>Доверенность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от 01.05.2022 г.)</w:t>
            </w:r>
          </w:p>
          <w:p w:rsidR="00D638AC" w:rsidRPr="0075558A" w:rsidRDefault="00D638AC" w:rsidP="00D638AC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D638AC" w:rsidRPr="0075558A" w:rsidRDefault="00D638AC" w:rsidP="00D638AC">
            <w:pPr>
              <w:ind w:firstLine="709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174A66" w:rsidRPr="0075558A" w:rsidRDefault="00D638AC" w:rsidP="00DA6592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DA6592" w:rsidRPr="0075558A">
              <w:rPr>
                <w:rFonts w:asciiTheme="minorHAnsi" w:hAnsiTheme="minorHAnsi"/>
                <w:sz w:val="17"/>
                <w:szCs w:val="17"/>
              </w:rPr>
              <w:t>22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 w:rsidR="00DA6592" w:rsidRPr="0075558A">
              <w:rPr>
                <w:rFonts w:asciiTheme="minorHAnsi" w:hAnsiTheme="minorHAnsi"/>
                <w:sz w:val="17"/>
                <w:szCs w:val="17"/>
              </w:rPr>
              <w:t>июня</w:t>
            </w:r>
            <w:r w:rsidR="002768F6" w:rsidRPr="0075558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A6592" w:rsidRPr="0075558A">
              <w:rPr>
                <w:rFonts w:asciiTheme="minorHAnsi" w:hAnsiTheme="minorHAnsi"/>
                <w:sz w:val="17"/>
                <w:szCs w:val="17"/>
              </w:rPr>
              <w:t>2023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М.П.</w:t>
            </w:r>
          </w:p>
        </w:tc>
      </w:tr>
    </w:tbl>
    <w:p w:rsidR="00375216" w:rsidRPr="0075558A" w:rsidRDefault="00375216" w:rsidP="00CA3E98">
      <w:pPr>
        <w:rPr>
          <w:rFonts w:asciiTheme="minorHAnsi" w:hAnsiTheme="minorHAnsi"/>
          <w:sz w:val="17"/>
          <w:szCs w:val="17"/>
        </w:rPr>
      </w:pPr>
    </w:p>
    <w:sectPr w:rsidR="00375216" w:rsidRPr="0075558A" w:rsidSect="00901F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326A00"/>
    <w:multiLevelType w:val="hybridMultilevel"/>
    <w:tmpl w:val="C2FC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7240D"/>
    <w:multiLevelType w:val="multilevel"/>
    <w:tmpl w:val="940AD9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5A23CFD"/>
    <w:multiLevelType w:val="multilevel"/>
    <w:tmpl w:val="F612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8C34A5"/>
    <w:multiLevelType w:val="multilevel"/>
    <w:tmpl w:val="B07AE1FC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5" w15:restartNumberingAfterBreak="0">
    <w:nsid w:val="0EA8733F"/>
    <w:multiLevelType w:val="hybridMultilevel"/>
    <w:tmpl w:val="FCD0845E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0A4242C"/>
    <w:multiLevelType w:val="multilevel"/>
    <w:tmpl w:val="B8122A4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4972084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3059"/>
    <w:multiLevelType w:val="multilevel"/>
    <w:tmpl w:val="F3442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1A350DA6"/>
    <w:multiLevelType w:val="multilevel"/>
    <w:tmpl w:val="95B00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1B19468C"/>
    <w:multiLevelType w:val="multilevel"/>
    <w:tmpl w:val="36F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1E2ADE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E6B21"/>
    <w:multiLevelType w:val="multilevel"/>
    <w:tmpl w:val="1F9269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74A6D4F"/>
    <w:multiLevelType w:val="multilevel"/>
    <w:tmpl w:val="90BC0FD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C09159B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BC7328"/>
    <w:multiLevelType w:val="multilevel"/>
    <w:tmpl w:val="10328B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F0E6900"/>
    <w:multiLevelType w:val="multilevel"/>
    <w:tmpl w:val="84D4377C"/>
    <w:lvl w:ilvl="0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23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1440"/>
      </w:pPr>
      <w:rPr>
        <w:rFonts w:hint="default"/>
      </w:rPr>
    </w:lvl>
  </w:abstractNum>
  <w:abstractNum w:abstractNumId="17" w15:restartNumberingAfterBreak="0">
    <w:nsid w:val="2FB158E8"/>
    <w:multiLevelType w:val="hybridMultilevel"/>
    <w:tmpl w:val="1654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591EB0"/>
    <w:multiLevelType w:val="hybridMultilevel"/>
    <w:tmpl w:val="1F6C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2921FF"/>
    <w:multiLevelType w:val="multilevel"/>
    <w:tmpl w:val="2960A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D0D4C54"/>
    <w:multiLevelType w:val="multilevel"/>
    <w:tmpl w:val="0868B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6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80" w:hanging="1440"/>
      </w:pPr>
      <w:rPr>
        <w:rFonts w:hint="default"/>
      </w:rPr>
    </w:lvl>
  </w:abstractNum>
  <w:abstractNum w:abstractNumId="21" w15:restartNumberingAfterBreak="0">
    <w:nsid w:val="3D5B7BF9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1854B1D"/>
    <w:multiLevelType w:val="multilevel"/>
    <w:tmpl w:val="A7644B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2347A20"/>
    <w:multiLevelType w:val="hybridMultilevel"/>
    <w:tmpl w:val="33EE7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11DAB"/>
    <w:multiLevelType w:val="multilevel"/>
    <w:tmpl w:val="A1DAC636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egacy w:legacy="1" w:legacySpace="57" w:legacyIndent="397"/>
      <w:lvlJc w:val="left"/>
      <w:rPr>
        <w:rFonts w:hint="default"/>
      </w:rPr>
    </w:lvl>
    <w:lvl w:ilvl="2">
      <w:start w:val="1"/>
      <w:numFmt w:val="decimal"/>
      <w:lvlText w:val="%1.%2.%3."/>
      <w:legacy w:legacy="1" w:legacySpace="113" w:legacyIndent="567"/>
      <w:lvlJc w:val="left"/>
      <w:rPr>
        <w:rFonts w:hint="default"/>
        <w:i w:val="0"/>
      </w:rPr>
    </w:lvl>
    <w:lvl w:ilvl="3">
      <w:start w:val="1"/>
      <w:numFmt w:val="decimal"/>
      <w:lvlText w:val="%1.%2.%3.%4."/>
      <w:legacy w:legacy="1" w:legacySpace="113" w:legacyIndent="794"/>
      <w:lvlJc w:val="left"/>
      <w:rPr>
        <w:rFonts w:hint="default"/>
      </w:rPr>
    </w:lvl>
    <w:lvl w:ilvl="4">
      <w:start w:val="1"/>
      <w:numFmt w:val="decimal"/>
      <w:lvlText w:val="%1.%2.%3.%4.%5."/>
      <w:legacy w:legacy="1" w:legacySpace="0" w:legacyIndent="284"/>
      <w:lvlJc w:val="left"/>
      <w:pPr>
        <w:ind w:left="1814" w:hanging="284"/>
      </w:pPr>
      <w:rPr>
        <w:rFonts w:hint="default"/>
      </w:rPr>
    </w:lvl>
    <w:lvl w:ilvl="5">
      <w:start w:val="1"/>
      <w:numFmt w:val="decimal"/>
      <w:lvlText w:val="%1.%2.%3.%4.%5.%6."/>
      <w:legacy w:legacy="1" w:legacySpace="0" w:legacyIndent="284"/>
      <w:lvlJc w:val="left"/>
      <w:pPr>
        <w:ind w:left="2326" w:hanging="284"/>
      </w:pPr>
      <w:rPr>
        <w:rFonts w:hint="default"/>
      </w:rPr>
    </w:lvl>
    <w:lvl w:ilvl="6">
      <w:start w:val="1"/>
      <w:numFmt w:val="decimal"/>
      <w:lvlText w:val="%1.%2.%3.%4.%5.%6.%7."/>
      <w:legacy w:legacy="1" w:legacySpace="0" w:legacyIndent="284"/>
      <w:lvlJc w:val="left"/>
      <w:pPr>
        <w:ind w:left="2610" w:hanging="284"/>
      </w:pPr>
      <w:rPr>
        <w:rFonts w:hint="default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3318" w:hanging="708"/>
      </w:pPr>
      <w:rPr>
        <w:rFonts w:hint="default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026" w:hanging="708"/>
      </w:pPr>
      <w:rPr>
        <w:rFonts w:hint="default"/>
      </w:rPr>
    </w:lvl>
  </w:abstractNum>
  <w:abstractNum w:abstractNumId="26" w15:restartNumberingAfterBreak="0">
    <w:nsid w:val="4ABC6550"/>
    <w:multiLevelType w:val="hybridMultilevel"/>
    <w:tmpl w:val="06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8" w15:restartNumberingAfterBreak="0">
    <w:nsid w:val="4FF77E31"/>
    <w:multiLevelType w:val="multilevel"/>
    <w:tmpl w:val="067C1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9" w15:restartNumberingAfterBreak="0">
    <w:nsid w:val="5239103B"/>
    <w:multiLevelType w:val="multilevel"/>
    <w:tmpl w:val="ABB26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3D00EDB"/>
    <w:multiLevelType w:val="multilevel"/>
    <w:tmpl w:val="3BF0B248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31" w15:restartNumberingAfterBreak="0">
    <w:nsid w:val="54B32ACF"/>
    <w:multiLevelType w:val="hybridMultilevel"/>
    <w:tmpl w:val="1AE2B9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96F490A"/>
    <w:multiLevelType w:val="hybridMultilevel"/>
    <w:tmpl w:val="8632C738"/>
    <w:lvl w:ilvl="0" w:tplc="0419000F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33" w15:restartNumberingAfterBreak="0">
    <w:nsid w:val="5C835A24"/>
    <w:multiLevelType w:val="hybridMultilevel"/>
    <w:tmpl w:val="5F969856"/>
    <w:lvl w:ilvl="0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34" w15:restartNumberingAfterBreak="0">
    <w:nsid w:val="5DA0065B"/>
    <w:multiLevelType w:val="multilevel"/>
    <w:tmpl w:val="B1E05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2">
      <w:start w:val="1"/>
      <w:numFmt w:val="decimal"/>
      <w:lvlText w:val="3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lang w:val="ru-RU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E454BC0"/>
    <w:multiLevelType w:val="multilevel"/>
    <w:tmpl w:val="8600499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5F5208C1"/>
    <w:multiLevelType w:val="hybridMultilevel"/>
    <w:tmpl w:val="0E5C5C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3312B6E"/>
    <w:multiLevelType w:val="hybridMultilevel"/>
    <w:tmpl w:val="AC26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FC77AD"/>
    <w:multiLevelType w:val="hybridMultilevel"/>
    <w:tmpl w:val="06DA3EC6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1E7738B"/>
    <w:multiLevelType w:val="hybridMultilevel"/>
    <w:tmpl w:val="691C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E93CE9"/>
    <w:multiLevelType w:val="hybridMultilevel"/>
    <w:tmpl w:val="F776ED68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41" w15:restartNumberingAfterBreak="0">
    <w:nsid w:val="796619EE"/>
    <w:multiLevelType w:val="multilevel"/>
    <w:tmpl w:val="E40E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A182CB9"/>
    <w:multiLevelType w:val="hybridMultilevel"/>
    <w:tmpl w:val="CD2CA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C4333"/>
    <w:multiLevelType w:val="multilevel"/>
    <w:tmpl w:val="85AEFD0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3"/>
  </w:num>
  <w:num w:numId="5">
    <w:abstractNumId w:val="15"/>
  </w:num>
  <w:num w:numId="6">
    <w:abstractNumId w:val="12"/>
  </w:num>
  <w:num w:numId="7">
    <w:abstractNumId w:val="2"/>
  </w:num>
  <w:num w:numId="8">
    <w:abstractNumId w:val="35"/>
  </w:num>
  <w:num w:numId="9">
    <w:abstractNumId w:val="43"/>
  </w:num>
  <w:num w:numId="10">
    <w:abstractNumId w:val="22"/>
  </w:num>
  <w:num w:numId="11">
    <w:abstractNumId w:val="6"/>
  </w:num>
  <w:num w:numId="12">
    <w:abstractNumId w:val="13"/>
  </w:num>
  <w:num w:numId="13">
    <w:abstractNumId w:val="28"/>
  </w:num>
  <w:num w:numId="14">
    <w:abstractNumId w:val="30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3"/>
  </w:num>
  <w:num w:numId="20">
    <w:abstractNumId w:val="33"/>
  </w:num>
  <w:num w:numId="21">
    <w:abstractNumId w:val="36"/>
  </w:num>
  <w:num w:numId="22">
    <w:abstractNumId w:val="40"/>
  </w:num>
  <w:num w:numId="23">
    <w:abstractNumId w:val="16"/>
  </w:num>
  <w:num w:numId="24">
    <w:abstractNumId w:val="7"/>
  </w:num>
  <w:num w:numId="25">
    <w:abstractNumId w:val="20"/>
  </w:num>
  <w:num w:numId="26">
    <w:abstractNumId w:val="14"/>
  </w:num>
  <w:num w:numId="27">
    <w:abstractNumId w:val="41"/>
  </w:num>
  <w:num w:numId="28">
    <w:abstractNumId w:val="32"/>
  </w:num>
  <w:num w:numId="29">
    <w:abstractNumId w:val="31"/>
  </w:num>
  <w:num w:numId="30">
    <w:abstractNumId w:val="25"/>
  </w:num>
  <w:num w:numId="31">
    <w:abstractNumId w:val="34"/>
  </w:num>
  <w:num w:numId="32">
    <w:abstractNumId w:val="42"/>
  </w:num>
  <w:num w:numId="33">
    <w:abstractNumId w:val="5"/>
  </w:num>
  <w:num w:numId="34">
    <w:abstractNumId w:val="38"/>
  </w:num>
  <w:num w:numId="35">
    <w:abstractNumId w:val="21"/>
  </w:num>
  <w:num w:numId="36">
    <w:abstractNumId w:val="19"/>
  </w:num>
  <w:num w:numId="37">
    <w:abstractNumId w:val="11"/>
  </w:num>
  <w:num w:numId="38">
    <w:abstractNumId w:val="8"/>
  </w:num>
  <w:num w:numId="39">
    <w:abstractNumId w:val="26"/>
  </w:num>
  <w:num w:numId="40">
    <w:abstractNumId w:val="1"/>
  </w:num>
  <w:num w:numId="41">
    <w:abstractNumId w:val="29"/>
  </w:num>
  <w:num w:numId="42">
    <w:abstractNumId w:val="39"/>
  </w:num>
  <w:num w:numId="43">
    <w:abstractNumId w:val="1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13635"/>
    <w:rsid w:val="00047D33"/>
    <w:rsid w:val="0005012E"/>
    <w:rsid w:val="00063246"/>
    <w:rsid w:val="00074A55"/>
    <w:rsid w:val="000902CC"/>
    <w:rsid w:val="000A7F6F"/>
    <w:rsid w:val="000B5C64"/>
    <w:rsid w:val="000C73CA"/>
    <w:rsid w:val="000E0A39"/>
    <w:rsid w:val="000F14E4"/>
    <w:rsid w:val="000F2B04"/>
    <w:rsid w:val="000F2F18"/>
    <w:rsid w:val="000F309A"/>
    <w:rsid w:val="00105543"/>
    <w:rsid w:val="0011778B"/>
    <w:rsid w:val="00125F5E"/>
    <w:rsid w:val="0013244E"/>
    <w:rsid w:val="00150F6F"/>
    <w:rsid w:val="00174A66"/>
    <w:rsid w:val="00180C08"/>
    <w:rsid w:val="001837C7"/>
    <w:rsid w:val="00186EC7"/>
    <w:rsid w:val="001A4F0D"/>
    <w:rsid w:val="001A5C21"/>
    <w:rsid w:val="001B1403"/>
    <w:rsid w:val="001B3395"/>
    <w:rsid w:val="001E35DE"/>
    <w:rsid w:val="001E3A66"/>
    <w:rsid w:val="001F2063"/>
    <w:rsid w:val="002064FF"/>
    <w:rsid w:val="002111D8"/>
    <w:rsid w:val="00214F12"/>
    <w:rsid w:val="00215192"/>
    <w:rsid w:val="0022009E"/>
    <w:rsid w:val="00220EA2"/>
    <w:rsid w:val="002300D6"/>
    <w:rsid w:val="0023191C"/>
    <w:rsid w:val="002333E7"/>
    <w:rsid w:val="00240C3A"/>
    <w:rsid w:val="00242AC8"/>
    <w:rsid w:val="0027018B"/>
    <w:rsid w:val="002768F6"/>
    <w:rsid w:val="002805B4"/>
    <w:rsid w:val="00287A97"/>
    <w:rsid w:val="002B7316"/>
    <w:rsid w:val="002C113F"/>
    <w:rsid w:val="002C57EE"/>
    <w:rsid w:val="002D33A1"/>
    <w:rsid w:val="002D7A25"/>
    <w:rsid w:val="002E11B5"/>
    <w:rsid w:val="002F1E87"/>
    <w:rsid w:val="002F57DC"/>
    <w:rsid w:val="00326339"/>
    <w:rsid w:val="00344471"/>
    <w:rsid w:val="00353C0E"/>
    <w:rsid w:val="003562A2"/>
    <w:rsid w:val="00357B6E"/>
    <w:rsid w:val="00371676"/>
    <w:rsid w:val="00375216"/>
    <w:rsid w:val="0037796B"/>
    <w:rsid w:val="003A60A0"/>
    <w:rsid w:val="003B35F0"/>
    <w:rsid w:val="003B4508"/>
    <w:rsid w:val="003D04CD"/>
    <w:rsid w:val="003E0A23"/>
    <w:rsid w:val="003E23A9"/>
    <w:rsid w:val="003F2CE3"/>
    <w:rsid w:val="003F38F4"/>
    <w:rsid w:val="00415175"/>
    <w:rsid w:val="00421F77"/>
    <w:rsid w:val="004237FF"/>
    <w:rsid w:val="00432CD8"/>
    <w:rsid w:val="004477E4"/>
    <w:rsid w:val="00447959"/>
    <w:rsid w:val="00454ECA"/>
    <w:rsid w:val="00460D9E"/>
    <w:rsid w:val="00465606"/>
    <w:rsid w:val="00474F7D"/>
    <w:rsid w:val="00475B7E"/>
    <w:rsid w:val="004945A9"/>
    <w:rsid w:val="004965DD"/>
    <w:rsid w:val="004A3616"/>
    <w:rsid w:val="004A44FB"/>
    <w:rsid w:val="004A5C72"/>
    <w:rsid w:val="004D0A1E"/>
    <w:rsid w:val="004D6EB5"/>
    <w:rsid w:val="004E36C5"/>
    <w:rsid w:val="004E527F"/>
    <w:rsid w:val="004E5886"/>
    <w:rsid w:val="004F4C1E"/>
    <w:rsid w:val="00506037"/>
    <w:rsid w:val="00510FC6"/>
    <w:rsid w:val="00513305"/>
    <w:rsid w:val="00514BA6"/>
    <w:rsid w:val="0054649A"/>
    <w:rsid w:val="00557FA9"/>
    <w:rsid w:val="005A6EA8"/>
    <w:rsid w:val="005B0BC1"/>
    <w:rsid w:val="005C49EB"/>
    <w:rsid w:val="005D504D"/>
    <w:rsid w:val="005D64CA"/>
    <w:rsid w:val="005E733F"/>
    <w:rsid w:val="005E7C86"/>
    <w:rsid w:val="00602033"/>
    <w:rsid w:val="006026F3"/>
    <w:rsid w:val="00606F0D"/>
    <w:rsid w:val="006124F9"/>
    <w:rsid w:val="00681393"/>
    <w:rsid w:val="0068448A"/>
    <w:rsid w:val="0069019F"/>
    <w:rsid w:val="006A1173"/>
    <w:rsid w:val="006A2D94"/>
    <w:rsid w:val="006A2FE8"/>
    <w:rsid w:val="006A6FE6"/>
    <w:rsid w:val="006B4042"/>
    <w:rsid w:val="006B6DF9"/>
    <w:rsid w:val="006C2CA2"/>
    <w:rsid w:val="006D7673"/>
    <w:rsid w:val="006F14A0"/>
    <w:rsid w:val="006F51DF"/>
    <w:rsid w:val="00706BF8"/>
    <w:rsid w:val="00706CEF"/>
    <w:rsid w:val="00726887"/>
    <w:rsid w:val="0073781C"/>
    <w:rsid w:val="007548B2"/>
    <w:rsid w:val="0075558A"/>
    <w:rsid w:val="00756130"/>
    <w:rsid w:val="00773439"/>
    <w:rsid w:val="007B1C07"/>
    <w:rsid w:val="007D50C7"/>
    <w:rsid w:val="007D7F5D"/>
    <w:rsid w:val="007F0A5B"/>
    <w:rsid w:val="007F5517"/>
    <w:rsid w:val="008344B5"/>
    <w:rsid w:val="008347D9"/>
    <w:rsid w:val="0084770D"/>
    <w:rsid w:val="00850374"/>
    <w:rsid w:val="0086217E"/>
    <w:rsid w:val="008668DE"/>
    <w:rsid w:val="008D3B2C"/>
    <w:rsid w:val="008D3C87"/>
    <w:rsid w:val="008E0745"/>
    <w:rsid w:val="008E6D55"/>
    <w:rsid w:val="008F0DEE"/>
    <w:rsid w:val="0090008A"/>
    <w:rsid w:val="00901F1B"/>
    <w:rsid w:val="00915B62"/>
    <w:rsid w:val="0092345A"/>
    <w:rsid w:val="00933C4D"/>
    <w:rsid w:val="009374EF"/>
    <w:rsid w:val="009425E7"/>
    <w:rsid w:val="00943161"/>
    <w:rsid w:val="009452C2"/>
    <w:rsid w:val="00952117"/>
    <w:rsid w:val="009527A8"/>
    <w:rsid w:val="00971EBE"/>
    <w:rsid w:val="00991DD9"/>
    <w:rsid w:val="009A34ED"/>
    <w:rsid w:val="009A6D9E"/>
    <w:rsid w:val="009A7865"/>
    <w:rsid w:val="009C08FC"/>
    <w:rsid w:val="009C311C"/>
    <w:rsid w:val="009D0972"/>
    <w:rsid w:val="009D3F1B"/>
    <w:rsid w:val="009E2002"/>
    <w:rsid w:val="009E4D7D"/>
    <w:rsid w:val="009F6697"/>
    <w:rsid w:val="00A067D4"/>
    <w:rsid w:val="00A10095"/>
    <w:rsid w:val="00A43012"/>
    <w:rsid w:val="00A55F4E"/>
    <w:rsid w:val="00A70510"/>
    <w:rsid w:val="00A7140F"/>
    <w:rsid w:val="00A71FF2"/>
    <w:rsid w:val="00A86097"/>
    <w:rsid w:val="00AB0CD2"/>
    <w:rsid w:val="00AC2C65"/>
    <w:rsid w:val="00AE2737"/>
    <w:rsid w:val="00AE7E0D"/>
    <w:rsid w:val="00B03FC0"/>
    <w:rsid w:val="00B0444B"/>
    <w:rsid w:val="00B05FAB"/>
    <w:rsid w:val="00B07F95"/>
    <w:rsid w:val="00B10831"/>
    <w:rsid w:val="00B17399"/>
    <w:rsid w:val="00B204BF"/>
    <w:rsid w:val="00B21143"/>
    <w:rsid w:val="00B277C3"/>
    <w:rsid w:val="00B32E4B"/>
    <w:rsid w:val="00B33984"/>
    <w:rsid w:val="00B35FFE"/>
    <w:rsid w:val="00B46F48"/>
    <w:rsid w:val="00B56279"/>
    <w:rsid w:val="00B70383"/>
    <w:rsid w:val="00B91ABF"/>
    <w:rsid w:val="00BA6E3C"/>
    <w:rsid w:val="00BB695F"/>
    <w:rsid w:val="00BB71F7"/>
    <w:rsid w:val="00BC0093"/>
    <w:rsid w:val="00BC03D2"/>
    <w:rsid w:val="00BC45C5"/>
    <w:rsid w:val="00BC7BD6"/>
    <w:rsid w:val="00BF1D24"/>
    <w:rsid w:val="00BF326A"/>
    <w:rsid w:val="00C00553"/>
    <w:rsid w:val="00C019C6"/>
    <w:rsid w:val="00C02DB7"/>
    <w:rsid w:val="00C12343"/>
    <w:rsid w:val="00C540F1"/>
    <w:rsid w:val="00C61ED9"/>
    <w:rsid w:val="00C630AF"/>
    <w:rsid w:val="00C65956"/>
    <w:rsid w:val="00C70096"/>
    <w:rsid w:val="00C7139F"/>
    <w:rsid w:val="00C81A62"/>
    <w:rsid w:val="00C84A15"/>
    <w:rsid w:val="00CA3E98"/>
    <w:rsid w:val="00CB0EBC"/>
    <w:rsid w:val="00CB11B9"/>
    <w:rsid w:val="00CB28DB"/>
    <w:rsid w:val="00CB58F6"/>
    <w:rsid w:val="00CE3D81"/>
    <w:rsid w:val="00D04D05"/>
    <w:rsid w:val="00D077DA"/>
    <w:rsid w:val="00D22685"/>
    <w:rsid w:val="00D23E9C"/>
    <w:rsid w:val="00D26085"/>
    <w:rsid w:val="00D638AC"/>
    <w:rsid w:val="00D664D4"/>
    <w:rsid w:val="00D74C24"/>
    <w:rsid w:val="00DA017A"/>
    <w:rsid w:val="00DA145B"/>
    <w:rsid w:val="00DA6592"/>
    <w:rsid w:val="00DB2A5A"/>
    <w:rsid w:val="00DC4490"/>
    <w:rsid w:val="00DD30E9"/>
    <w:rsid w:val="00DE3C97"/>
    <w:rsid w:val="00E0000A"/>
    <w:rsid w:val="00E149EF"/>
    <w:rsid w:val="00E1682B"/>
    <w:rsid w:val="00E36658"/>
    <w:rsid w:val="00E51B77"/>
    <w:rsid w:val="00E55553"/>
    <w:rsid w:val="00E63D6F"/>
    <w:rsid w:val="00E67908"/>
    <w:rsid w:val="00E70806"/>
    <w:rsid w:val="00E73B10"/>
    <w:rsid w:val="00EA3A87"/>
    <w:rsid w:val="00EE2639"/>
    <w:rsid w:val="00EF7BCF"/>
    <w:rsid w:val="00F036AC"/>
    <w:rsid w:val="00F04AB9"/>
    <w:rsid w:val="00F0564D"/>
    <w:rsid w:val="00F12258"/>
    <w:rsid w:val="00F21C4A"/>
    <w:rsid w:val="00F45FD3"/>
    <w:rsid w:val="00F5384F"/>
    <w:rsid w:val="00F61F29"/>
    <w:rsid w:val="00F6549C"/>
    <w:rsid w:val="00F71B2A"/>
    <w:rsid w:val="00F75048"/>
    <w:rsid w:val="00F75406"/>
    <w:rsid w:val="00F76740"/>
    <w:rsid w:val="00FB358C"/>
    <w:rsid w:val="00FB4836"/>
    <w:rsid w:val="00FB67FD"/>
    <w:rsid w:val="00FC5E94"/>
    <w:rsid w:val="00FD1B4F"/>
    <w:rsid w:val="00FE6052"/>
    <w:rsid w:val="00FE606D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DB2F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B56279"/>
    <w:pPr>
      <w:keepNext/>
      <w:jc w:val="both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B46F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6F4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Неформальный1"/>
    <w:rsid w:val="00B46F48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3">
    <w:name w:val="Неформальный2"/>
    <w:basedOn w:val="1"/>
    <w:rsid w:val="00B46F48"/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B46F48"/>
    <w:pPr>
      <w:spacing w:after="120"/>
      <w:ind w:left="283"/>
    </w:pPr>
    <w:rPr>
      <w:rFonts w:ascii="FreeSetCTT" w:hAnsi="FreeSetCTT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B46F48"/>
    <w:rPr>
      <w:rFonts w:ascii="FreeSetCTT" w:eastAsia="Times New Roman" w:hAnsi="FreeSetCTT" w:cs="Times New Roman"/>
      <w:sz w:val="16"/>
      <w:szCs w:val="16"/>
      <w:lang w:eastAsia="ru-RU"/>
    </w:rPr>
  </w:style>
  <w:style w:type="character" w:customStyle="1" w:styleId="DeltaViewInsertion">
    <w:name w:val="DeltaView Insertion"/>
    <w:uiPriority w:val="99"/>
    <w:rsid w:val="00B46F48"/>
    <w:rPr>
      <w:color w:val="0000FF"/>
      <w:u w:val="double"/>
    </w:rPr>
  </w:style>
  <w:style w:type="character" w:customStyle="1" w:styleId="apple-converted-space">
    <w:name w:val="apple-converted-space"/>
    <w:rsid w:val="006124F9"/>
  </w:style>
  <w:style w:type="table" w:styleId="a7">
    <w:name w:val="Table Grid"/>
    <w:basedOn w:val="a1"/>
    <w:uiPriority w:val="59"/>
    <w:rsid w:val="0020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Subst"/>
    <w:uiPriority w:val="99"/>
    <w:rsid w:val="006C2CA2"/>
    <w:rPr>
      <w:b/>
      <w:i/>
    </w:rPr>
  </w:style>
  <w:style w:type="character" w:customStyle="1" w:styleId="a4">
    <w:name w:val="Абзац списка Знак"/>
    <w:link w:val="a3"/>
    <w:uiPriority w:val="34"/>
    <w:rsid w:val="00B56279"/>
  </w:style>
  <w:style w:type="paragraph" w:styleId="32">
    <w:name w:val="Body Text 3"/>
    <w:basedOn w:val="a"/>
    <w:link w:val="33"/>
    <w:rsid w:val="00B562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562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B56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6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A55F4E"/>
    <w:pPr>
      <w:tabs>
        <w:tab w:val="center" w:pos="4677"/>
        <w:tab w:val="right" w:pos="9355"/>
      </w:tabs>
    </w:pPr>
    <w:rPr>
      <w:rFonts w:ascii="FreeSetCTT" w:hAnsi="FreeSetCTT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5F4E"/>
    <w:rPr>
      <w:rFonts w:ascii="FreeSetCTT" w:eastAsia="Times New Roman" w:hAnsi="FreeSetCTT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74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l">
    <w:name w:val="hl"/>
    <w:rsid w:val="00474F7D"/>
  </w:style>
  <w:style w:type="paragraph" w:styleId="ab">
    <w:name w:val="No Spacing"/>
    <w:uiPriority w:val="1"/>
    <w:qFormat/>
    <w:rsid w:val="00B3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14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4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onoshko_n</dc:creator>
  <cp:lastModifiedBy>Манаенкова Елена Геннадьевна</cp:lastModifiedBy>
  <cp:revision>137</cp:revision>
  <cp:lastPrinted>2023-06-23T12:57:00Z</cp:lastPrinted>
  <dcterms:created xsi:type="dcterms:W3CDTF">2017-06-28T08:03:00Z</dcterms:created>
  <dcterms:modified xsi:type="dcterms:W3CDTF">2023-06-23T13:41:00Z</dcterms:modified>
</cp:coreProperties>
</file>